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highlight w:val="none"/>
        </w:rPr>
        <w:t xml:space="preserve">                                                            УИД: 77RS0006-02-2022-006145-31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РЕШЕНИЕ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Именем Российской Федерации</w:t>
      </w:r>
    </w:p>
    <w:p>
      <w:pPr>
        <w:shd w:val="clear" w:color="auto" w:fill="FFFFFF"/>
        <w:tabs>
          <w:tab w:val="left" w:pos="9900"/>
        </w:tabs>
        <w:spacing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23 мая 2023 года                                                                                                г. Москва       </w:t>
      </w:r>
    </w:p>
    <w:p>
      <w:pPr>
        <w:widowControl w:val="0"/>
        <w:shd w:val="clear" w:color="auto" w:fill="FFFFFF"/>
        <w:tabs>
          <w:tab w:val="left" w:pos="9900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Дорогомиловский районный суд г. Москвы в составе председательствующего судьи Александренко И.М., </w:t>
      </w:r>
    </w:p>
    <w:p>
      <w:pPr>
        <w:widowControl w:val="0"/>
        <w:shd w:val="clear" w:color="auto" w:fill="FFFFFF"/>
        <w:tabs>
          <w:tab w:val="left" w:pos="99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>при помощнике судьи Тюгулевой Е.В.,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рассмотрев в открытом судебном заседании гражданское дело № 2-331/23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по иску ТСЖ «Фили -4», Пушкиной * к Шаврину *, Савостиной *, Шинкову *, Куколевскому *, Измайловой *, Масловой *, Белокурову *, Рыбалко *, Звереву *, Пучкиной *, Давиденко *, Лесновой * о признании очередного общего собрания недействительным, </w:t>
      </w:r>
    </w:p>
    <w:p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                                                 Установил: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ТСЖ «Фили-4», Пушкина * обратились в суд с иском к </w:t>
      </w:r>
      <w:r>
        <w:rPr>
          <w:rFonts w:ascii="Times New Roman" w:hAnsi="Times New Roman" w:eastAsia="Calibri" w:cs="Times New Roman"/>
          <w:sz w:val="24"/>
          <w:szCs w:val="24"/>
          <w:highlight w:val="none"/>
        </w:rPr>
        <w:t xml:space="preserve">ответчикам о признании </w:t>
      </w:r>
      <w:r>
        <w:rPr>
          <w:rFonts w:ascii="Times New Roman" w:hAnsi="Times New Roman" w:cs="Times New Roman"/>
          <w:sz w:val="24"/>
          <w:szCs w:val="24"/>
          <w:highlight w:val="none"/>
        </w:rPr>
        <w:t>недействительным (ничтожным) решение общего собрания членов ТСЖ «Фили-4», проведенного в период с 10 августа 2021 года по 03 ноября 2021 года.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В обоснование заявленных требований истцы указали, что инициаторы проведения общего собрания членов ТСЖ подлинники решений общего собрания членов ТСЖ в орган государственного жилищного надзора не направили, суду не представили, в связи с чем не представляется установить наличие кворума при проведении общего собрания.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Истец Пушкина Л.В., являющаяся одновременно  представителем истца ТСЖ и представитель ТСЖ «Фили-4» * в судебном заседании требования поддержали по изложенным в иске основаниям.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Ответчики в судебное заседание не явились, о времени и месте рассмотрения дела извещались надлежащим образом.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Представитель третьего лица Мосжилинспекции в судебное заседание не явился, о времени и месте рассмотрения дела извещался надлежащим образом.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На основании ст.167 ГПК РФ суд полагает возможным рассмотреть дело при данной явке.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Суд, выслушав явившихся участников процесса, исследовав письменные материалы дела, приходит к следующему.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В соответствии со ст.ст.181.2 – 181.5 ГК РФ решение считается принятым,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гражданско-правового сообщества.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При наличии в повестке дня собрания нескольких вопросов по каждому из них принимается самостоятельное решение, если иное не установлено единогласно участниками собрания. О принятии решения собрания составляется протокол в письменной форме.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Решение собрания недействительно по основаниям, установленным настоящим Кодексом или иными законами, в силу признания его таковым судом (оспоримое решение) или независимо от такого признания (ничтожное решение).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Недействительное решение собрания оспоримо, если из закона не следует, что решение ничтожно.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Решение собрания может быть признано судом недействительным при нарушении требований закона, в том числе в случае, если: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1) допущено существенное нарушение порядка созыва, подготовки и проведения собрания, влияющее на волеизъявление участников собрания;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2) у лица, выступавшего от имени участника собрания, отсутствовали полномочия;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3) допущено нарушение равенства прав участников собрания при его проведении;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4) допущено существенное нарушение правил составления протокола, в том числе правила о письменной форме протокола (пункт 3 статьи 181.2).</w:t>
      </w: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 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Решение собрания вправе оспорить в суде участник соответствующего гражданско-правового сообщества, не принимавший участия в заседании или заочном голосовании либо голосовавший против принятия оспариваемого решения.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Решение собрания не может быть признано судом недействительным, если голосование лица, права которого затрагиваются оспариваемым решением, не могло повлиять на его принятие и решение собрания не влечет </w:t>
      </w:r>
      <w:r>
        <w:fldChar w:fldCharType="begin"/>
      </w:r>
      <w:r>
        <w:rPr>
          <w:highlight w:val="none"/>
        </w:rPr>
        <w:instrText xml:space="preserve"> HYPERLINK "http://www.consultant.ru/document/cons_doc_LAW_181602/3e8a1ad7971019119049897feb4ca103fb280819/" \l "dst100275"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существенные неблагоприятные последствия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 для этого лица.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Оспоримое решение собрания, признанное судом недействительным, недействительно с момента его принятия.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Если иное не предусмотрено законом, решение собрания </w:t>
      </w:r>
      <w:r>
        <w:fldChar w:fldCharType="begin"/>
      </w:r>
      <w:r>
        <w:rPr>
          <w:highlight w:val="none"/>
        </w:rPr>
        <w:instrText xml:space="preserve"> HYPERLINK "http://www.consultant.ru/document/cons_doc_LAW_181602/3e8a1ad7971019119049897feb4ca103fb280819/" \l "dst100268"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ничтожно</w:t>
      </w:r>
      <w: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 в случае, если оно:</w:t>
      </w:r>
    </w:p>
    <w:p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1) принято по вопросу, не включенному в повестку дня, за исключением случая, если в заседании или заочном голосовании приняли участие все участники соответствующего гражданско-правового сообщества;</w:t>
      </w:r>
    </w:p>
    <w:p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2) принято при отсутствии необходимого кворума;</w:t>
      </w:r>
    </w:p>
    <w:p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3) принято по вопросу, не относящемуся к компетенции собрания;</w:t>
      </w:r>
    </w:p>
    <w:p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4) противоречит </w:t>
      </w:r>
      <w:r>
        <w:fldChar w:fldCharType="begin"/>
      </w:r>
      <w:r>
        <w:rPr>
          <w:highlight w:val="none"/>
        </w:rPr>
        <w:instrText xml:space="preserve"> HYPERLINK "http://www.consultant.ru/document/cons_doc_LAW_49667/" \l "dst100011"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основам</w:t>
      </w:r>
      <w: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 правопорядка или нравственности.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В соответствии со ст. 45 ЖК РФ, с</w:t>
      </w: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обственники помещений в многоквартирном доме обязаны ежегодно проводить годовое общее собрание собственников помещений в многоквартирном доме. Если иное не установлено общим собранием собственников помещений в многоквартирном доме, годовое общее собрание собственников помещений в многоквартирном доме проводится в течение второго квартала года, следующего за отчетным годом, в порядке, установленном настоящей статьей.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Проводимые помимо годового общего собрания общие собрания собственников помещений в многоквартирном доме являются внеочередными. Внеочередное общее собрание собственников помещений в многоквартирном доме может быть созвано по инициативе любого из данных собственников.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Собственник, иное лицо, указанное в настоящем Кодексе, по инициативе которых созывается общее собрание собственников помещений в многоквартирном доме, обязаны сообщить собственникам помещений в данном доме о проведении такого собрания не позднее чем за десять дней до даты его проведения.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 таким решением и доступном для всех собственников помещений в данном доме.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В силу ч.1 ст.46 ЖК РФ </w:t>
      </w: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 Решения общего собрания собственников помещений в многоквартирном доме по вопросам, поставленным на голосование, принимаются большинством </w:t>
      </w:r>
      <w:r>
        <w:fldChar w:fldCharType="begin"/>
      </w:r>
      <w:r>
        <w:rPr>
          <w:highlight w:val="none"/>
        </w:rPr>
        <w:instrText xml:space="preserve"> HYPERLINK "http://www.consultant.ru/document/cons_doc_LAW_413029/" \l "dst100010"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голосов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 от общего числа голосов принимающих участие в данном собрании собственников помещений в многоквартирном доме, за исключением предусмотренных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"http://www.consultant.ru/document/cons_doc_LAW_416251/b50101afd08dee7f41764d59277937373a2f7655/" \l "dst101652"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пунктами 1.1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,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"http://www.consultant.ru/document/cons_doc_LAW_416251/b50101afd08dee7f41764d59277937373a2f7655/" \l "dst101462"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4.2 части 2 статьи 44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 настоящего Кодекса решений, которые принимаются более чем пятьюдесятью процентами голосов от общего числа голосов собственников помещений в многоквартирном доме, и предусмотренных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"http://www.consultant.ru/document/cons_doc_LAW_416251/b50101afd08dee7f41764d59277937373a2f7655/" \l "dst183"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пунктами 1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,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"http://www.consultant.ru/document/cons_doc_LAW_416251/b50101afd08dee7f41764d59277937373a2f7655/" \l "dst101615"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1.1-1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,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"http://www.consultant.ru/document/cons_doc_LAW_416251/b50101afd08dee7f41764d59277937373a2f7655/" \l "dst185"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1.2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,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"http://www.consultant.ru/document/cons_doc_LAW_416251/b50101afd08dee7f41764d59277937373a2f7655/" \l "dst100310"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2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,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"http://www.consultant.ru/document/cons_doc_LAW_416251/b50101afd08dee7f41764d59277937373a2f7655/" \l "dst59"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3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,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"http://www.consultant.ru/document/cons_doc_LAW_416251/b50101afd08dee7f41764d59277937373a2f7655/" \l "dst60"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3.1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,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"http://www.consultant.ru/document/cons_doc_LAW_416251/b50101afd08dee7f41764d59277937373a2f7655/" \l "dst101463"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4.3 части 2 статьи 44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 настоящего Кодекса решений, которые принимаются большинством не менее двух третей голосов от общего числа голосов собственников помещений в многоквартирном доме, решения, предусмотренного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"http://www.consultant.ru/document/cons_doc_LAW_416251/b50101afd08dee7f41764d59277937373a2f7655/" \l "dst876"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пунктом 4.5 части 2 статьи 44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 настоящего Кодекса, которое принимается в соответствии с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"http://www.consultant.ru/document/cons_doc_LAW_416251/219c3257c1aa4b0fb9896079a0f295343e523d37/" \l "dst881"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частью 1.2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 настоящей статьи, а также решения, предусмотренного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"http://www.consultant.ru/document/cons_doc_LAW_416251/b50101afd08dee7f41764d59277937373a2f7655/" \l "dst981"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пунктом 4.6 части 2 статьи 44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 настоящего Кодекса, которое принимается в соответствии с </w:t>
      </w:r>
      <w:r>
        <w:fldChar w:fldCharType="begin"/>
      </w:r>
      <w:r>
        <w:rPr>
          <w:highlight w:val="none"/>
        </w:rPr>
        <w:instrText xml:space="preserve"> HYPERLINK "http://www.consultant.ru/document/cons_doc_LAW_416251/219c3257c1aa4b0fb9896079a0f295343e523d37/" \l "dst986"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частью 1.3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 настоящей статьи. Решения общего собрания собственников помещений в многоквартирном доме оформляются протоколами в соответствии с </w:t>
      </w:r>
      <w:r>
        <w:fldChar w:fldCharType="begin"/>
      </w:r>
      <w:r>
        <w:rPr>
          <w:highlight w:val="none"/>
        </w:rPr>
        <w:instrText xml:space="preserve"> HYPERLINK "http://www.consultant.ru/document/cons_doc_LAW_318797/dafccac84c950e10a24b409a3b3fe9f9f2c98792/" \l "dst100013"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szCs w:val="24"/>
          <w:highlight w:val="none"/>
          <w:u w:val="none"/>
          <w:shd w:val="clear" w:color="auto" w:fill="FFFFFF"/>
        </w:rPr>
        <w:t>требованиями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системе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Как установлено </w:t>
      </w:r>
      <w:r>
        <w:fldChar w:fldCharType="begin"/>
      </w:r>
      <w:r>
        <w:rPr>
          <w:highlight w:val="none"/>
        </w:rPr>
        <w:instrText xml:space="preserve"> HYPERLINK "consultantplus://offline/ref=482BF09287B58A928000D5EEE794C26FBA5F8865A5F3D6643E4F7A59E6D74F2B6D042F4F3C4F3F21E9AB53EF2CAB65A6E4275DD771a0W3K"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highlight w:val="none"/>
        </w:rPr>
        <w:t>п. 1.1 ст. 46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ЖК РФ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в течение пяти дней с момента получения указанных в </w:t>
      </w:r>
      <w:r>
        <w:fldChar w:fldCharType="begin"/>
      </w:r>
      <w:r>
        <w:rPr>
          <w:highlight w:val="none"/>
        </w:rPr>
        <w:instrText xml:space="preserve"> HYPERLINK "consultantplus://offline/ref=482BF09287B58A928000D5EEE794C26FBA5F8865A5F3D6643E4F7A59E6D74F2B6D042F403D423F21E9AB53EF2CAB65A6E4275DD771a0W3K"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highlight w:val="none"/>
        </w:rPr>
        <w:t>части 1 настоящей статьи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подлинников решений и протокола общего собрания собственников помещений обязаны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направить подлинники указанных решений и протокола, в том числе с использованием системы, в орган государственного жилищного надзора для хранения в течение трех лет.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дня, обязан провести внеплановую проверку в целях установления факта соблюдения требований законодательства при организации, проведении и оформлении результатов такого собрания.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 Согласно ч.6 ст.46 ЖК РФ 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настоящего Кодекса,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В соответствии с ч.1,2 ст. 48 ЖК РФ 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В силу ч. 3 ст. 48 ЖК РФ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В судебном заседании установлено, управление многоквартирным жилым домом по адресу: г. Москва, Филевский бульвар, дом 34 осуществляет ТСЖ «Фили-4».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Истец Пушкина Л.В. является собственником квартиры * по адресу: г.Москва, Филевский бульвар, дом * и одновременно председателем правления ТСЖ «Фили-4».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Согласно копии протокола № 1 в период с 10.08.2021 по 03.11.2021 в МКД по инициативе Правления ТСЖ в составе Шаврина С.Ю., Савостиной И.С., Шинкова В.А., Куколевского О.А., Измайловой И.И., Белокурова А.В., Рыбалко А.В.. Зверевой А.Н., Пучкиной Ю.И., Давиденко Л.И., Лесновой Н.С., Савельевой А.Г., Серегиной А.Д., было инициировано и проведено очередное общее собрание членов ТСЖ, с изложенной в нем повестке дня.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Истцы, ТСЖ «Фили-4», Пушкина Л.В. с указанными решениями общего собрания членов ТСЖ и Правления ТСЖ не согласны, считают их незаконными, вынесенными с существенным нарушением положений жилищного и гражданского законодательства, поскольку инициаторы проведения общего собрания членов ТСЖ подлинники решений общего собрания членов ТСЖ в орган государственного жилищного надзора не направили, суду не представили, в связи с чем не представляется установить наличие кворума при проведении общего собрания.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Для проверки доводов истцов, судом направлен запрос в Мосжилинспекцию для представления подлинников материалов общего собрания.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В ответ на запрос суда, Мосжилинспекцией представлены материалы общего собрания собственников помещений от 10.11.2021 в копиях, иных документов не поступало, что указано в ответе на запрос и подтверждается описью комплекта документов, составленной сотрудником Мосжилинспекции.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Ответчиками также суду протокол и иные подлинные документы, связанные с проведением общего собрания, представлены не были.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При этом согласно спорному протоколу (копии), семнадцатым вопросом повестки дня, было утверждено место хранение протокола и материалов очередного общего собрания членов ТСЖ «Фили-4»- г. Москва, Филевский бульвар, д. * (председатель правления ТСЖ «Фили-4» Шаврин С.Ю.).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Согласно ч. 1 ст.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highlight w:val="none"/>
        </w:rPr>
        <w:t>На основании ст. 67 ГПК РФ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В соответствии с </w:t>
      </w:r>
      <w:r>
        <w:fldChar w:fldCharType="begin"/>
      </w:r>
      <w:r>
        <w:rPr>
          <w:highlight w:val="none"/>
        </w:rPr>
        <w:instrText xml:space="preserve"> HYPERLINK "consultantplus://offline/ref=4CD3777CA627AF4B24A97A99B07ECD6B95FD3C9646379ED69A0ADAF64BA12D3F192B869CB4770FA538C9245447D3A7F55F6DCEC621A50AB9ZA45K"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highlight w:val="none"/>
        </w:rPr>
        <w:t>ч. 2 ст. 71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ГПК РФ письменные доказательства представляются в подлиннике или в форме надлежащим образом заверенной копии.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highlight w:val="none"/>
        </w:rPr>
        <w:t xml:space="preserve">Оценивая представленные материалы дела, учитывая, что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последствия, которые в подлиннике суду представлены не были, то ответчики, как инициаторы собрания  не доказали соблюдение порядка созыва и проведения общего собрания, равно как не доказали соблюдение порядка принятия решений на оспариваемом собрании.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При таких обстоятельствах суд приходит к выводу о том, что в ходе организации общего собрания, проведенного в период с 10 августа 2021 года по 03 ноября 2021 года нарушены гражданские права собственников помещений, в силу чего оспариваемый протокол и оформленные данным протоколом решения общего собрания являются недействительными (ничтожными), а исковые требования подлежат удовлетворению.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На основании изложенного, руководствуясь ст.ст. 194-199 ГПК РФ, суд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                                                   РЕШИЛ: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Исковые требования удовлетворить.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Признать недействительными (ничтожными) решения общего собрания членов ТСЖ «Фили-4», проведенного в период с 10 августа 2021 года по 03 ноября 2021 года.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>Решение может быть обжаловано в Московский городской суд через Дорогомиловский районный суд г. Москвы в апелляционном порядке в течение месяца со дня изготовления решения в окончательной форме</w:t>
      </w:r>
      <w:r>
        <w:rPr>
          <w:rFonts w:ascii="Times New Roman" w:hAnsi="Times New Roman" w:cs="Times New Roman"/>
          <w:sz w:val="24"/>
          <w:szCs w:val="24"/>
          <w:highlight w:val="none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Решение в мотивированной форме изготовлено 19 июня 2023 года.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Судья                                                                                                        И.М.Александренко</w:t>
      </w: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E37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">
    <w:name w:val="HTML Preformatted"/>
    <w:basedOn w:val="1"/>
    <w:link w:val="74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customStyle="1" w:styleId="7">
    <w:name w:val="paragrap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s_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no-inden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cat-Address grp-3 rplc-205"/>
    <w:basedOn w:val="2"/>
    <w:uiPriority w:val="0"/>
  </w:style>
  <w:style w:type="character" w:customStyle="1" w:styleId="11">
    <w:name w:val="cat-Address grp-4 rplc-206"/>
    <w:basedOn w:val="2"/>
    <w:qFormat/>
    <w:uiPriority w:val="0"/>
  </w:style>
  <w:style w:type="character" w:customStyle="1" w:styleId="12">
    <w:name w:val="cat-Date grp-32 rplc-207"/>
    <w:basedOn w:val="2"/>
    <w:uiPriority w:val="0"/>
  </w:style>
  <w:style w:type="character" w:customStyle="1" w:styleId="13">
    <w:name w:val="cat-OrganizationName grp-179 rplc-208"/>
    <w:basedOn w:val="2"/>
    <w:uiPriority w:val="0"/>
  </w:style>
  <w:style w:type="character" w:customStyle="1" w:styleId="14">
    <w:name w:val="cat-OrganizationName grp-173 rplc-209"/>
    <w:basedOn w:val="2"/>
    <w:uiPriority w:val="0"/>
  </w:style>
  <w:style w:type="character" w:customStyle="1" w:styleId="15">
    <w:name w:val="cat-FIO grp-104 rplc-210"/>
    <w:basedOn w:val="2"/>
    <w:qFormat/>
    <w:uiPriority w:val="0"/>
  </w:style>
  <w:style w:type="character" w:customStyle="1" w:styleId="16">
    <w:name w:val="cat-FIO grp-125 rplc-211"/>
    <w:basedOn w:val="2"/>
    <w:uiPriority w:val="0"/>
  </w:style>
  <w:style w:type="character" w:customStyle="1" w:styleId="17">
    <w:name w:val="cat-FIO grp-126 rplc-212"/>
    <w:basedOn w:val="2"/>
    <w:uiPriority w:val="0"/>
  </w:style>
  <w:style w:type="character" w:customStyle="1" w:styleId="18">
    <w:name w:val="cat-OrganizationName grp-173 rplc-213"/>
    <w:basedOn w:val="2"/>
    <w:uiPriority w:val="0"/>
  </w:style>
  <w:style w:type="character" w:customStyle="1" w:styleId="19">
    <w:name w:val="cat-Address grp-5 rplc-214"/>
    <w:basedOn w:val="2"/>
    <w:uiPriority w:val="0"/>
  </w:style>
  <w:style w:type="character" w:customStyle="1" w:styleId="20">
    <w:name w:val="cat-FIO grp-74 rplc-215"/>
    <w:basedOn w:val="2"/>
    <w:qFormat/>
    <w:uiPriority w:val="0"/>
  </w:style>
  <w:style w:type="character" w:customStyle="1" w:styleId="21">
    <w:name w:val="cat-FIO grp-62 rplc-216"/>
    <w:basedOn w:val="2"/>
    <w:uiPriority w:val="0"/>
  </w:style>
  <w:style w:type="character" w:customStyle="1" w:styleId="22">
    <w:name w:val="cat-FIO grp-80 rplc-217"/>
    <w:basedOn w:val="2"/>
    <w:uiPriority w:val="0"/>
  </w:style>
  <w:style w:type="character" w:customStyle="1" w:styleId="23">
    <w:name w:val="cat-FIO grp-127 rplc-218"/>
    <w:basedOn w:val="2"/>
    <w:qFormat/>
    <w:uiPriority w:val="0"/>
  </w:style>
  <w:style w:type="character" w:customStyle="1" w:styleId="24">
    <w:name w:val="cat-FIO grp-130 rplc-219"/>
    <w:basedOn w:val="2"/>
    <w:qFormat/>
    <w:uiPriority w:val="0"/>
  </w:style>
  <w:style w:type="character" w:customStyle="1" w:styleId="25">
    <w:name w:val="cat-FIO grp-131 rplc-220"/>
    <w:basedOn w:val="2"/>
    <w:qFormat/>
    <w:uiPriority w:val="0"/>
  </w:style>
  <w:style w:type="character" w:customStyle="1" w:styleId="26">
    <w:name w:val="cat-Address grp-0 rplc-244"/>
    <w:basedOn w:val="2"/>
    <w:qFormat/>
    <w:uiPriority w:val="0"/>
  </w:style>
  <w:style w:type="character" w:customStyle="1" w:styleId="27">
    <w:name w:val="cat-FIO grp-74 rplc-245"/>
    <w:basedOn w:val="2"/>
    <w:uiPriority w:val="0"/>
  </w:style>
  <w:style w:type="character" w:customStyle="1" w:styleId="28">
    <w:name w:val="cat-OrganizationName grp-173 rplc-347"/>
    <w:basedOn w:val="2"/>
    <w:uiPriority w:val="0"/>
  </w:style>
  <w:style w:type="character" w:customStyle="1" w:styleId="29">
    <w:name w:val="cat-OrganizationName grp-173 rplc-348"/>
    <w:basedOn w:val="2"/>
    <w:qFormat/>
    <w:uiPriority w:val="0"/>
  </w:style>
  <w:style w:type="character" w:customStyle="1" w:styleId="30">
    <w:name w:val="cat-Address grp-6 rplc-349"/>
    <w:basedOn w:val="2"/>
    <w:uiPriority w:val="0"/>
  </w:style>
  <w:style w:type="character" w:customStyle="1" w:styleId="31">
    <w:name w:val="cat-OrganizationName grp-174 rplc-350"/>
    <w:basedOn w:val="2"/>
    <w:qFormat/>
    <w:uiPriority w:val="0"/>
  </w:style>
  <w:style w:type="character" w:customStyle="1" w:styleId="32">
    <w:name w:val="cat-FIO grp-161 rplc-365"/>
    <w:basedOn w:val="2"/>
    <w:qFormat/>
    <w:uiPriority w:val="0"/>
  </w:style>
  <w:style w:type="character" w:customStyle="1" w:styleId="33">
    <w:name w:val="cat-Date grp-29 rplc-366"/>
    <w:basedOn w:val="2"/>
    <w:qFormat/>
    <w:uiPriority w:val="0"/>
  </w:style>
  <w:style w:type="character" w:customStyle="1" w:styleId="34">
    <w:name w:val="cat-Date grp-49 rplc-367"/>
    <w:basedOn w:val="2"/>
    <w:qFormat/>
    <w:uiPriority w:val="0"/>
  </w:style>
  <w:style w:type="character" w:customStyle="1" w:styleId="35">
    <w:name w:val="cat-FIO grp-144 rplc-368"/>
    <w:basedOn w:val="2"/>
    <w:qFormat/>
    <w:uiPriority w:val="0"/>
  </w:style>
  <w:style w:type="character" w:customStyle="1" w:styleId="36">
    <w:name w:val="cat-Date grp-29 rplc-369"/>
    <w:basedOn w:val="2"/>
    <w:uiPriority w:val="0"/>
  </w:style>
  <w:style w:type="character" w:customStyle="1" w:styleId="37">
    <w:name w:val="cat-Date grp-50 rplc-370"/>
    <w:basedOn w:val="2"/>
    <w:qFormat/>
    <w:uiPriority w:val="0"/>
  </w:style>
  <w:style w:type="character" w:customStyle="1" w:styleId="38">
    <w:name w:val="cat-FIO grp-161 rplc-371"/>
    <w:basedOn w:val="2"/>
    <w:qFormat/>
    <w:uiPriority w:val="0"/>
  </w:style>
  <w:style w:type="character" w:customStyle="1" w:styleId="39">
    <w:name w:val="cat-FIO grp-144 rplc-372"/>
    <w:basedOn w:val="2"/>
    <w:qFormat/>
    <w:uiPriority w:val="0"/>
  </w:style>
  <w:style w:type="character" w:customStyle="1" w:styleId="40">
    <w:name w:val="cat-Date grp-29 rplc-373"/>
    <w:basedOn w:val="2"/>
    <w:qFormat/>
    <w:uiPriority w:val="0"/>
  </w:style>
  <w:style w:type="character" w:customStyle="1" w:styleId="41">
    <w:name w:val="cat-OrganizationName grp-173 rplc-351"/>
    <w:basedOn w:val="2"/>
    <w:uiPriority w:val="0"/>
  </w:style>
  <w:style w:type="character" w:customStyle="1" w:styleId="42">
    <w:name w:val="cat-OrganizationName grp-173 rplc-352"/>
    <w:basedOn w:val="2"/>
    <w:qFormat/>
    <w:uiPriority w:val="0"/>
  </w:style>
  <w:style w:type="character" w:customStyle="1" w:styleId="43">
    <w:name w:val="cat-FIO grp-118 rplc-353"/>
    <w:basedOn w:val="2"/>
    <w:qFormat/>
    <w:uiPriority w:val="0"/>
  </w:style>
  <w:style w:type="character" w:customStyle="1" w:styleId="44">
    <w:name w:val="cat-FIO grp-132 rplc-354"/>
    <w:basedOn w:val="2"/>
    <w:qFormat/>
    <w:uiPriority w:val="0"/>
  </w:style>
  <w:style w:type="character" w:customStyle="1" w:styleId="45">
    <w:name w:val="cat-FIO grp-81 rplc-355"/>
    <w:basedOn w:val="2"/>
    <w:qFormat/>
    <w:uiPriority w:val="0"/>
  </w:style>
  <w:style w:type="character" w:customStyle="1" w:styleId="46">
    <w:name w:val="cat-FIO grp-95 rplc-356"/>
    <w:basedOn w:val="2"/>
    <w:qFormat/>
    <w:uiPriority w:val="0"/>
  </w:style>
  <w:style w:type="character" w:customStyle="1" w:styleId="47">
    <w:name w:val="cat-OrganizationName grp-173 rplc-380"/>
    <w:basedOn w:val="2"/>
    <w:qFormat/>
    <w:uiPriority w:val="0"/>
  </w:style>
  <w:style w:type="character" w:customStyle="1" w:styleId="48">
    <w:name w:val="cat-OrganizationName grp-173 rplc-381"/>
    <w:basedOn w:val="2"/>
    <w:qFormat/>
    <w:uiPriority w:val="0"/>
  </w:style>
  <w:style w:type="character" w:customStyle="1" w:styleId="49">
    <w:name w:val="cat-OrganizationName grp-173 rplc-382"/>
    <w:basedOn w:val="2"/>
    <w:qFormat/>
    <w:uiPriority w:val="0"/>
  </w:style>
  <w:style w:type="character" w:customStyle="1" w:styleId="50">
    <w:name w:val="cat-Date grp-51 rplc-383"/>
    <w:basedOn w:val="2"/>
    <w:qFormat/>
    <w:uiPriority w:val="0"/>
  </w:style>
  <w:style w:type="character" w:customStyle="1" w:styleId="51">
    <w:name w:val="cat-Date grp-53 rplc-397"/>
    <w:basedOn w:val="2"/>
    <w:qFormat/>
    <w:uiPriority w:val="0"/>
  </w:style>
  <w:style w:type="character" w:customStyle="1" w:styleId="52">
    <w:name w:val="cat-FIO grp-141 rplc-406"/>
    <w:basedOn w:val="2"/>
    <w:qFormat/>
    <w:uiPriority w:val="0"/>
  </w:style>
  <w:style w:type="character" w:customStyle="1" w:styleId="53">
    <w:name w:val="cat-FIO grp-141 rplc-407"/>
    <w:basedOn w:val="2"/>
    <w:qFormat/>
    <w:uiPriority w:val="0"/>
  </w:style>
  <w:style w:type="character" w:customStyle="1" w:styleId="54">
    <w:name w:val="cat-FIO grp-164 rplc-408"/>
    <w:basedOn w:val="2"/>
    <w:qFormat/>
    <w:uiPriority w:val="0"/>
  </w:style>
  <w:style w:type="character" w:customStyle="1" w:styleId="55">
    <w:name w:val="cat-FIO grp-165 rplc-409"/>
    <w:basedOn w:val="2"/>
    <w:qFormat/>
    <w:uiPriority w:val="0"/>
  </w:style>
  <w:style w:type="character" w:customStyle="1" w:styleId="56">
    <w:name w:val="cat-FIO grp-166 rplc-410"/>
    <w:basedOn w:val="2"/>
    <w:qFormat/>
    <w:uiPriority w:val="0"/>
  </w:style>
  <w:style w:type="character" w:customStyle="1" w:styleId="57">
    <w:name w:val="cat-FIO grp-167 rplc-411"/>
    <w:basedOn w:val="2"/>
    <w:qFormat/>
    <w:uiPriority w:val="0"/>
  </w:style>
  <w:style w:type="character" w:customStyle="1" w:styleId="58">
    <w:name w:val="cat-Address grp-0 rplc-29"/>
    <w:basedOn w:val="2"/>
    <w:qFormat/>
    <w:uiPriority w:val="0"/>
  </w:style>
  <w:style w:type="character" w:customStyle="1" w:styleId="59">
    <w:name w:val="cat-FIO grp-63 rplc-30"/>
    <w:basedOn w:val="2"/>
    <w:qFormat/>
    <w:uiPriority w:val="0"/>
  </w:style>
  <w:style w:type="character" w:customStyle="1" w:styleId="60">
    <w:name w:val="cat-PassportData grp-171 rplc-31"/>
    <w:basedOn w:val="2"/>
    <w:uiPriority w:val="0"/>
  </w:style>
  <w:style w:type="character" w:customStyle="1" w:styleId="61">
    <w:name w:val="cat-Address grp-0 rplc-32"/>
    <w:basedOn w:val="2"/>
    <w:qFormat/>
    <w:uiPriority w:val="0"/>
  </w:style>
  <w:style w:type="character" w:customStyle="1" w:styleId="62">
    <w:name w:val="cat-Date grp-17 rplc-33"/>
    <w:basedOn w:val="2"/>
    <w:qFormat/>
    <w:uiPriority w:val="0"/>
  </w:style>
  <w:style w:type="character" w:customStyle="1" w:styleId="63">
    <w:name w:val="cat-FIO grp-37 rplc-66"/>
    <w:basedOn w:val="2"/>
    <w:qFormat/>
    <w:uiPriority w:val="0"/>
  </w:style>
  <w:style w:type="character" w:customStyle="1" w:styleId="64">
    <w:name w:val="cat-FIO grp-38 rplc-67"/>
    <w:basedOn w:val="2"/>
    <w:qFormat/>
    <w:uiPriority w:val="0"/>
  </w:style>
  <w:style w:type="character" w:customStyle="1" w:styleId="65">
    <w:name w:val="cat-FIO grp-39 rplc-68"/>
    <w:basedOn w:val="2"/>
    <w:qFormat/>
    <w:uiPriority w:val="0"/>
  </w:style>
  <w:style w:type="character" w:customStyle="1" w:styleId="66">
    <w:name w:val="cat-FIO grp-40 rplc-69"/>
    <w:basedOn w:val="2"/>
    <w:qFormat/>
    <w:uiPriority w:val="0"/>
  </w:style>
  <w:style w:type="character" w:customStyle="1" w:styleId="67">
    <w:name w:val="cat-FIO grp-42 rplc-70"/>
    <w:basedOn w:val="2"/>
    <w:qFormat/>
    <w:uiPriority w:val="0"/>
  </w:style>
  <w:style w:type="character" w:customStyle="1" w:styleId="68">
    <w:name w:val="cat-FIO grp-40 rplc-71"/>
    <w:basedOn w:val="2"/>
    <w:qFormat/>
    <w:uiPriority w:val="0"/>
  </w:style>
  <w:style w:type="character" w:customStyle="1" w:styleId="69">
    <w:name w:val="cat-FIO grp-39 rplc-72"/>
    <w:basedOn w:val="2"/>
    <w:qFormat/>
    <w:uiPriority w:val="0"/>
  </w:style>
  <w:style w:type="character" w:customStyle="1" w:styleId="70">
    <w:name w:val="cat-FIO grp-38 rplc-73"/>
    <w:basedOn w:val="2"/>
    <w:qFormat/>
    <w:uiPriority w:val="0"/>
  </w:style>
  <w:style w:type="character" w:customStyle="1" w:styleId="71">
    <w:name w:val="cat-Date grp-25 rplc-81"/>
    <w:basedOn w:val="2"/>
    <w:qFormat/>
    <w:uiPriority w:val="0"/>
  </w:style>
  <w:style w:type="character" w:customStyle="1" w:styleId="72">
    <w:name w:val="cat-Address grp-0 rplc-31"/>
    <w:basedOn w:val="2"/>
    <w:qFormat/>
    <w:uiPriority w:val="0"/>
  </w:style>
  <w:style w:type="paragraph" w:styleId="73">
    <w:name w:val="List Paragraph"/>
    <w:basedOn w:val="1"/>
    <w:qFormat/>
    <w:uiPriority w:val="34"/>
    <w:pPr>
      <w:ind w:left="720"/>
      <w:contextualSpacing/>
    </w:pPr>
    <w:rPr>
      <w:rFonts w:eastAsiaTheme="minorEastAsia"/>
      <w:lang w:eastAsia="ru-RU"/>
    </w:rPr>
  </w:style>
  <w:style w:type="character" w:customStyle="1" w:styleId="74">
    <w:name w:val="Стандартный HTML Знак"/>
    <w:basedOn w:val="2"/>
    <w:link w:val="6"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2023-11-07T07:10:55Z</dcterms:created>
  <dc:creator>Dell inspiron 14</dc:creator>
  <cp:lastModifiedBy>Виктория Пушкин�</cp:lastModifiedBy>
  <dcterms:modified xsi:type="dcterms:W3CDTF">2023-11-07T07:16:23Z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F104C91A0A9C4958892425ADC8830503_13</vt:lpwstr>
  </property>
</Properties>
</file>